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12" w:rsidRDefault="00AF756F" w:rsidP="00B65F4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1369D">
        <w:rPr>
          <w:rFonts w:ascii="Arial" w:hAnsi="Arial" w:cs="Arial"/>
          <w:b/>
        </w:rPr>
        <w:t>Formato IC24</w:t>
      </w:r>
    </w:p>
    <w:p w:rsidR="00DA7A0A" w:rsidRDefault="008E1AED" w:rsidP="00220A7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CF5946">
        <w:rPr>
          <w:rFonts w:ascii="Arial" w:hAnsi="Arial" w:cs="Arial"/>
          <w:b/>
        </w:rPr>
        <w:t xml:space="preserve"> 1° DE ENERO AL 31 DE MARZO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7F59B7">
        <w:rPr>
          <w:rFonts w:ascii="Arial" w:hAnsi="Arial" w:cs="Arial"/>
          <w:b/>
        </w:rPr>
        <w:t>1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530B7E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>Breve descripción de las</w:t>
      </w:r>
      <w:r>
        <w:rPr>
          <w:rFonts w:ascii="Arial" w:hAnsi="Arial" w:cs="Arial"/>
          <w:b/>
        </w:rPr>
        <w:t xml:space="preserve"> </w:t>
      </w:r>
      <w:r w:rsidRPr="00266779">
        <w:rPr>
          <w:rFonts w:ascii="Arial" w:hAnsi="Arial" w:cs="Arial"/>
          <w:b/>
        </w:rPr>
        <w:t>a actividades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A23C93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7B3C2D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fuente</w:t>
      </w:r>
      <w:r w:rsidR="00E51592">
        <w:rPr>
          <w:rFonts w:ascii="Arial" w:hAnsi="Arial" w:cs="Arial"/>
        </w:rPr>
        <w:t>s de financiamiento que tiene este</w:t>
      </w:r>
      <w:r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recursos federales,</w:t>
      </w:r>
      <w:r w:rsidR="00E51592">
        <w:rPr>
          <w:rFonts w:ascii="Arial" w:hAnsi="Arial" w:cs="Arial"/>
        </w:rPr>
        <w:t xml:space="preserve"> los cuales permiten financiar los egresos en base </w:t>
      </w:r>
      <w:proofErr w:type="spellStart"/>
      <w:r w:rsidR="00E51592">
        <w:rPr>
          <w:rFonts w:ascii="Arial" w:hAnsi="Arial" w:cs="Arial"/>
        </w:rPr>
        <w:t>aun</w:t>
      </w:r>
      <w:proofErr w:type="spellEnd"/>
      <w:r w:rsidR="00E51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Juárez , como presidente del consejo, r</w:t>
      </w:r>
      <w:r w:rsidR="00433139">
        <w:rPr>
          <w:rFonts w:ascii="Arial" w:hAnsi="Arial" w:cs="Arial"/>
        </w:rPr>
        <w:t xml:space="preserve">epresentantes del H. Ayuntamiento, de Gobierno del Estado, mediante convocatoria, y los usuarios de los Servicios y de la sociedad civil organizada y </w:t>
      </w:r>
      <w:proofErr w:type="spellStart"/>
      <w:r w:rsidR="00433139">
        <w:rPr>
          <w:rFonts w:ascii="Arial" w:hAnsi="Arial" w:cs="Arial"/>
        </w:rPr>
        <w:t>asi</w:t>
      </w:r>
      <w:proofErr w:type="spellEnd"/>
      <w:r w:rsidR="00433139">
        <w:rPr>
          <w:rFonts w:ascii="Arial" w:hAnsi="Arial" w:cs="Arial"/>
        </w:rPr>
        <w:t xml:space="preserve"> mismo el director general del organismo operador que fungirá como secretario 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A23C93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1701EC">
        <w:rPr>
          <w:rFonts w:ascii="Arial" w:hAnsi="Arial" w:cs="Arial"/>
          <w:b/>
        </w:rPr>
        <w:t>Constitución del Ente y principales cambios en su estr</w:t>
      </w:r>
      <w:r w:rsidR="00227004">
        <w:rPr>
          <w:rFonts w:ascii="Arial" w:hAnsi="Arial" w:cs="Arial"/>
          <w:b/>
        </w:rPr>
        <w:t>uctura durante el ejercicio 2020.</w:t>
      </w:r>
    </w:p>
    <w:p w:rsidR="00513B1A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la “Ley de Aguas para el Estado Libre y Soberano de Guerrero Nú</w:t>
      </w:r>
      <w:r w:rsidR="00513B1A">
        <w:rPr>
          <w:rFonts w:ascii="Arial" w:hAnsi="Arial" w:cs="Arial"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Pr="00E24C19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A23C93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Ejercicio Fiscal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01442A">
        <w:rPr>
          <w:rFonts w:ascii="Arial" w:hAnsi="Arial" w:cs="Arial"/>
        </w:rPr>
        <w:t xml:space="preserve"> 1 de Enero 31 de Diciembre 2021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lastRenderedPageBreak/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Pr="007B27CF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3.-Publico</w:t>
      </w:r>
    </w:p>
    <w:p w:rsidR="00584C29" w:rsidRP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 xml:space="preserve">Subdirección de Informática. 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Jurídica.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Administrativa</w:t>
      </w:r>
    </w:p>
    <w:p w:rsidR="001E4C87" w:rsidRPr="008266A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 xml:space="preserve">Departamento de Comunicación Social. </w:t>
      </w: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lastRenderedPageBreak/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lastRenderedPageBreak/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1E4DB0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426" w:hanging="708"/>
        <w:jc w:val="both"/>
        <w:rPr>
          <w:rFonts w:ascii="Arial" w:hAnsi="Arial" w:cs="Arial"/>
          <w:b/>
        </w:rPr>
      </w:pPr>
      <w:r w:rsidRPr="001E4DB0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1831ED" w:rsidRPr="00CF53B4" w:rsidRDefault="001831ED" w:rsidP="001831ED">
      <w:pPr>
        <w:spacing w:after="0" w:line="240" w:lineRule="auto"/>
        <w:ind w:left="426"/>
        <w:rPr>
          <w:rFonts w:ascii="Arial" w:hAnsi="Arial" w:cs="Arial"/>
          <w:b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lastRenderedPageBreak/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B26C10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>
        <w:rPr>
          <w:rFonts w:ascii="Arial" w:hAnsi="Arial" w:cs="Arial"/>
          <w:b/>
          <w:bCs/>
        </w:rPr>
        <w:t>diferentes rubros</w:t>
      </w:r>
      <w:r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DF3559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9750CC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7E7D17" w:rsidRDefault="007E7D17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001A51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3924C8" w:rsidRDefault="003924C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lastRenderedPageBreak/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 xml:space="preserve">IPSAS 10 Informes Financieras en Economías </w:t>
      </w:r>
      <w:proofErr w:type="spellStart"/>
      <w:r w:rsidR="000F2BCA">
        <w:rPr>
          <w:rFonts w:ascii="Arial" w:hAnsi="Arial" w:cs="Arial"/>
          <w:bCs/>
        </w:rPr>
        <w:t>Hiper</w:t>
      </w:r>
      <w:proofErr w:type="spellEnd"/>
      <w:r w:rsidR="000F2BCA">
        <w:rPr>
          <w:rFonts w:ascii="Arial" w:hAnsi="Arial" w:cs="Arial"/>
          <w:bCs/>
        </w:rPr>
        <w:t>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lastRenderedPageBreak/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C835B4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registran 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C835B4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9147A7">
        <w:rPr>
          <w:rFonts w:ascii="Arial" w:hAnsi="Arial" w:cs="Arial"/>
          <w:bCs/>
        </w:rPr>
        <w:t>Se hicieron reclasificaciones de cuentas que se habían des</w:t>
      </w:r>
      <w:r w:rsidR="002E55A7">
        <w:rPr>
          <w:rFonts w:ascii="Arial" w:hAnsi="Arial" w:cs="Arial"/>
          <w:bCs/>
        </w:rPr>
        <w:t>a</w:t>
      </w:r>
      <w:r w:rsidRPr="009147A7">
        <w:rPr>
          <w:rFonts w:ascii="Arial" w:hAnsi="Arial" w:cs="Arial"/>
          <w:bCs/>
        </w:rPr>
        <w:t>gregado en forma incorrecta.</w:t>
      </w:r>
    </w:p>
    <w:p w:rsidR="007E7D17" w:rsidRDefault="007E7D1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A547C0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j).- </w:t>
      </w:r>
      <w:r w:rsidR="00A547C0" w:rsidRPr="00C42B04">
        <w:rPr>
          <w:rFonts w:ascii="Arial" w:hAnsi="Arial" w:cs="Arial"/>
          <w:b/>
          <w:bCs/>
        </w:rPr>
        <w:t>Depuración y Cancelación de Saldos:</w:t>
      </w:r>
    </w:p>
    <w:p w:rsidR="00C835B4" w:rsidRDefault="00A547C0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 w:rsidRPr="0059663B">
        <w:rPr>
          <w:rFonts w:ascii="Arial" w:hAnsi="Arial" w:cs="Arial"/>
          <w:bCs/>
        </w:rPr>
        <w:t xml:space="preserve">Se </w:t>
      </w:r>
      <w:r w:rsidR="00371E25">
        <w:rPr>
          <w:rFonts w:ascii="Arial" w:hAnsi="Arial" w:cs="Arial"/>
          <w:bCs/>
        </w:rPr>
        <w:t>r</w:t>
      </w:r>
      <w:r w:rsidRPr="0059663B">
        <w:rPr>
          <w:rFonts w:ascii="Arial" w:hAnsi="Arial" w:cs="Arial"/>
          <w:bCs/>
        </w:rPr>
        <w:t>ealizan aplicando</w:t>
      </w:r>
      <w:r w:rsidR="00371E25">
        <w:rPr>
          <w:rFonts w:ascii="Arial" w:hAnsi="Arial" w:cs="Arial"/>
          <w:bCs/>
        </w:rPr>
        <w:t xml:space="preserve"> la </w:t>
      </w:r>
      <w:r w:rsidR="00371E25">
        <w:t>NGIFG 006 - NORMA PARA DE</w:t>
      </w:r>
      <w:r w:rsidR="008B43BC">
        <w:t>PURACIÓN Y CANCELACIÓN DE saldos</w:t>
      </w:r>
      <w:r w:rsidR="002E55A7">
        <w:rPr>
          <w:rFonts w:ascii="Arial" w:hAnsi="Arial" w:cs="Arial"/>
          <w:bCs/>
        </w:rPr>
        <w:t>,</w:t>
      </w:r>
      <w:r w:rsidR="008B43BC">
        <w:rPr>
          <w:rFonts w:ascii="Arial" w:hAnsi="Arial" w:cs="Arial"/>
          <w:bCs/>
        </w:rPr>
        <w:t xml:space="preserve"> </w:t>
      </w:r>
      <w:r w:rsidRPr="00371E25">
        <w:rPr>
          <w:rFonts w:ascii="Arial" w:hAnsi="Arial" w:cs="Arial"/>
          <w:bCs/>
        </w:rPr>
        <w:t>que después</w:t>
      </w:r>
      <w:r w:rsidR="008B43BC">
        <w:rPr>
          <w:rFonts w:ascii="Arial" w:hAnsi="Arial" w:cs="Arial"/>
          <w:bCs/>
        </w:rPr>
        <w:t xml:space="preserve"> </w:t>
      </w:r>
      <w:r w:rsidR="00371E25">
        <w:rPr>
          <w:rFonts w:ascii="Arial" w:hAnsi="Arial" w:cs="Arial"/>
          <w:bCs/>
        </w:rPr>
        <w:t xml:space="preserve">de </w:t>
      </w:r>
      <w:r w:rsidR="00371E25" w:rsidRPr="00371E25">
        <w:rPr>
          <w:rFonts w:ascii="Arial" w:hAnsi="Arial" w:cs="Arial"/>
        </w:rPr>
        <w:t xml:space="preserve">examinar y analizar los saldos de las cuentas de Balance, con el propósito de identificar aquellos que no muestren razonablemente un cierto </w:t>
      </w:r>
      <w:r w:rsidR="00E01A14">
        <w:rPr>
          <w:rFonts w:ascii="Arial" w:hAnsi="Arial" w:cs="Arial"/>
        </w:rPr>
        <w:t>g</w:t>
      </w:r>
      <w:r w:rsidR="00371E25" w:rsidRPr="00371E25">
        <w:rPr>
          <w:rFonts w:ascii="Arial" w:hAnsi="Arial" w:cs="Arial"/>
        </w:rPr>
        <w:t xml:space="preserve">rado de </w:t>
      </w:r>
      <w:proofErr w:type="spellStart"/>
      <w:r w:rsidR="00371E25" w:rsidRPr="00371E25">
        <w:rPr>
          <w:rFonts w:ascii="Arial" w:hAnsi="Arial" w:cs="Arial"/>
        </w:rPr>
        <w:t>recuperabilidad</w:t>
      </w:r>
      <w:proofErr w:type="spellEnd"/>
      <w:r w:rsidR="00371E25" w:rsidRPr="00371E25">
        <w:rPr>
          <w:rFonts w:ascii="Arial" w:hAnsi="Arial" w:cs="Arial"/>
        </w:rPr>
        <w:t xml:space="preserve">, exigibilidad </w:t>
      </w:r>
      <w:r w:rsidR="00E01A14">
        <w:rPr>
          <w:rFonts w:ascii="Arial" w:hAnsi="Arial" w:cs="Arial"/>
        </w:rPr>
        <w:t>o</w:t>
      </w:r>
      <w:r w:rsidR="00371E25">
        <w:rPr>
          <w:rFonts w:ascii="Arial" w:hAnsi="Arial" w:cs="Arial"/>
        </w:rPr>
        <w:t xml:space="preserve"> procedencia de los mismos</w:t>
      </w:r>
      <w:r w:rsidR="00371E25" w:rsidRPr="00371E25">
        <w:rPr>
          <w:rFonts w:ascii="Arial" w:hAnsi="Arial" w:cs="Arial"/>
        </w:rPr>
        <w:t xml:space="preserve"> o</w:t>
      </w:r>
      <w:r w:rsidR="008B43BC">
        <w:rPr>
          <w:rFonts w:ascii="Arial" w:hAnsi="Arial" w:cs="Arial"/>
        </w:rPr>
        <w:t xml:space="preserve"> </w:t>
      </w:r>
      <w:r w:rsidR="00371E25">
        <w:rPr>
          <w:rFonts w:ascii="Arial" w:hAnsi="Arial" w:cs="Arial"/>
        </w:rPr>
        <w:t xml:space="preserve">la </w:t>
      </w:r>
      <w:r w:rsidR="00371E25" w:rsidRPr="00371E25">
        <w:rPr>
          <w:rFonts w:ascii="Arial" w:hAnsi="Arial" w:cs="Arial"/>
        </w:rPr>
        <w:t xml:space="preserve">imposibilidad de recuperación del adeudo o del cobro, la </w:t>
      </w:r>
      <w:proofErr w:type="spellStart"/>
      <w:r w:rsidR="00371E25" w:rsidRPr="00371E25">
        <w:rPr>
          <w:rFonts w:ascii="Arial" w:hAnsi="Arial" w:cs="Arial"/>
        </w:rPr>
        <w:t>incosteabilidad</w:t>
      </w:r>
      <w:proofErr w:type="spellEnd"/>
      <w:r w:rsidR="00371E25" w:rsidRPr="00371E25">
        <w:rPr>
          <w:rFonts w:ascii="Arial" w:hAnsi="Arial" w:cs="Arial"/>
        </w:rPr>
        <w:t xml:space="preserve"> </w:t>
      </w:r>
      <w:r w:rsidR="0059663B" w:rsidRPr="0059663B">
        <w:rPr>
          <w:rFonts w:ascii="Arial" w:hAnsi="Arial" w:cs="Arial"/>
          <w:bCs/>
        </w:rPr>
        <w:t xml:space="preserve">se procederá </w:t>
      </w:r>
      <w:r w:rsidR="002E55A7">
        <w:rPr>
          <w:rFonts w:ascii="Arial" w:hAnsi="Arial" w:cs="Arial"/>
          <w:bCs/>
        </w:rPr>
        <w:t xml:space="preserve">a la depuración y/o cancelación por caducidad o </w:t>
      </w:r>
      <w:r w:rsidR="0059663B" w:rsidRPr="0059663B">
        <w:rPr>
          <w:rFonts w:ascii="Arial" w:hAnsi="Arial" w:cs="Arial"/>
          <w:bCs/>
        </w:rPr>
        <w:t xml:space="preserve"> prescripción</w:t>
      </w:r>
      <w:r w:rsidR="00B1181C">
        <w:rPr>
          <w:rFonts w:ascii="Arial" w:hAnsi="Arial" w:cs="Arial"/>
          <w:bCs/>
        </w:rPr>
        <w:t xml:space="preserve"> de la obligación</w:t>
      </w:r>
      <w:r w:rsidR="00914305">
        <w:rPr>
          <w:rFonts w:ascii="Arial" w:hAnsi="Arial" w:cs="Arial"/>
          <w:bCs/>
        </w:rPr>
        <w:t xml:space="preserve">, </w:t>
      </w:r>
      <w:r w:rsidR="00914305" w:rsidRPr="00914305">
        <w:rPr>
          <w:rFonts w:ascii="Arial" w:hAnsi="Arial" w:cs="Arial"/>
        </w:rPr>
        <w:t>presenta</w:t>
      </w:r>
      <w:r w:rsidR="00914305">
        <w:rPr>
          <w:rFonts w:ascii="Arial" w:hAnsi="Arial" w:cs="Arial"/>
        </w:rPr>
        <w:t>ndo</w:t>
      </w:r>
      <w:r w:rsidR="00914305" w:rsidRPr="00914305">
        <w:rPr>
          <w:rFonts w:ascii="Arial" w:hAnsi="Arial" w:cs="Arial"/>
        </w:rPr>
        <w:t xml:space="preserve"> todas las pesquisas y la evidencia documental que respalde el proceso de depuración y cancelación de saldos.</w:t>
      </w:r>
    </w:p>
    <w:p w:rsidR="00530B7E" w:rsidRDefault="00530B7E" w:rsidP="00530B7E">
      <w:pPr>
        <w:spacing w:after="120" w:line="240" w:lineRule="auto"/>
        <w:ind w:right="-285"/>
        <w:rPr>
          <w:rFonts w:ascii="Arial" w:hAnsi="Arial" w:cs="Arial"/>
        </w:rPr>
      </w:pPr>
    </w:p>
    <w:p w:rsidR="003D712C" w:rsidRDefault="00C835B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C42B04" w:rsidRPr="00C42B04" w:rsidRDefault="00530B7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C42B04" w:rsidRPr="00C42B04">
        <w:rPr>
          <w:rFonts w:ascii="Arial" w:hAnsi="Arial" w:cs="Arial"/>
        </w:rPr>
        <w:t>.</w:t>
      </w: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c)</w:t>
      </w:r>
      <w:proofErr w:type="gramEnd"/>
      <w:r>
        <w:rPr>
          <w:rFonts w:ascii="Arial" w:hAnsi="Arial" w:cs="Arial"/>
          <w:b/>
        </w:rPr>
        <w:t xml:space="preserve">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P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30B7E">
        <w:rPr>
          <w:rFonts w:ascii="Arial" w:hAnsi="Arial" w:cs="Arial"/>
        </w:rPr>
        <w:t xml:space="preserve">  No aplica.</w:t>
      </w:r>
    </w:p>
    <w:p w:rsidR="00BB2881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7E7D17" w:rsidRPr="00AC3EA7" w:rsidRDefault="007E7D17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aplica.</w:t>
      </w:r>
    </w:p>
    <w:p w:rsidR="00BB2881" w:rsidRPr="007E7D17" w:rsidRDefault="00BB2881" w:rsidP="007E7D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7D17">
        <w:rPr>
          <w:rFonts w:ascii="Arial" w:hAnsi="Arial" w:cs="Arial"/>
          <w:b/>
        </w:rPr>
        <w:t>Equivalente en moneda nacional</w:t>
      </w:r>
      <w:r w:rsidRPr="007E7D17">
        <w:rPr>
          <w:rFonts w:ascii="Arial" w:hAnsi="Arial" w:cs="Arial"/>
        </w:rPr>
        <w:t>.</w:t>
      </w:r>
    </w:p>
    <w:p w:rsidR="007E7D17" w:rsidRPr="007E7D17" w:rsidRDefault="007E7D17" w:rsidP="007E7D17">
      <w:pPr>
        <w:pStyle w:val="Prrafodelista"/>
        <w:spacing w:after="0" w:line="240" w:lineRule="auto"/>
        <w:ind w:left="645"/>
        <w:jc w:val="both"/>
        <w:rPr>
          <w:rFonts w:ascii="Arial" w:hAnsi="Arial" w:cs="Arial"/>
        </w:rPr>
      </w:pPr>
    </w:p>
    <w:p w:rsidR="004F7991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924C8" w:rsidRDefault="003924C8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924C8" w:rsidRDefault="003924C8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924C8" w:rsidRDefault="003924C8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D712C" w:rsidRDefault="00C835B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6"/>
        <w:gridCol w:w="1416"/>
        <w:gridCol w:w="1469"/>
        <w:gridCol w:w="1417"/>
        <w:gridCol w:w="1560"/>
      </w:tblGrid>
      <w:tr w:rsidR="000565C5" w:rsidRPr="0028643D" w:rsidTr="00C15172">
        <w:trPr>
          <w:trHeight w:val="57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01442A" w:rsidRPr="006A6C8F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2,658,782,855.08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5,179,017,330.74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5,102,815,805.11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2,734,984,380.71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76,201,525.63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1,355,754,822.32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5,175,729,307.43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F5946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5,091,851,327.67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1,439,632,802.08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83,877,979.76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39,007,781.73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4,949,074,998,.51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4,915,239,544.78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72,843,235.46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33,835,453.73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1,421,141,692.29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217,347,515.96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161,661,155.12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1,476,828,053.13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55,686,360.84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21,663,399.40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2,068,001.92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E47715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23,719,401.32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2,056,001.92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27,174,630.14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CF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3,995,220.21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2,645,653.10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28,524,197.25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830473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CF59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,349,567.11</w:t>
            </w:r>
          </w:p>
        </w:tc>
      </w:tr>
      <w:tr w:rsidR="0001442A" w:rsidRPr="0028643D" w:rsidTr="00C15172">
        <w:trPr>
          <w:trHeight w:val="44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-153,232,681.24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3,243,570.83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12,292,974.67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-162,282,085.08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-9,049,403.84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1,303,028,032.76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3,288,023.31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10,964,477.44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1,295,351,578.63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-7,676,454.13</w:t>
            </w:r>
          </w:p>
        </w:tc>
      </w:tr>
      <w:tr w:rsidR="0001442A" w:rsidRPr="0028643D" w:rsidTr="00C15172">
        <w:trPr>
          <w:trHeight w:val="23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3,179,139,652.52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B346AB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3,179,139,652.52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124,160,008.70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C42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230,540.98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4661E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109,927.33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124,280,622.35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120,613.65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2,2257,716.41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2,2257,716.41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4661E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-2,011,604,919.54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109,927.33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8,685,268.42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-2,020,180,260.63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-8,575,341.09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9,075,574.67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2,947,555.00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2,169,281.69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9,853,847.98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CF5946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778,273.31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C15172">
        <w:trPr>
          <w:trHeight w:val="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6155B" w:rsidRDefault="00A6155B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Eqpo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Eqpo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3D712C" w:rsidRDefault="003D712C" w:rsidP="003D712C">
      <w:pPr>
        <w:spacing w:after="120" w:line="240" w:lineRule="auto"/>
        <w:ind w:left="-426" w:right="-285"/>
        <w:rPr>
          <w:rFonts w:ascii="Arial" w:hAnsi="Arial" w:cs="Arial"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0E64E1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Nada que manifestar</w:t>
      </w:r>
      <w:r w:rsidR="000C05A2">
        <w:rPr>
          <w:rFonts w:ascii="Arial" w:hAnsi="Arial" w:cs="Arial"/>
          <w:bCs/>
        </w:rPr>
        <w:t>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</w:t>
      </w:r>
      <w:proofErr w:type="gramStart"/>
      <w:r>
        <w:rPr>
          <w:rFonts w:ascii="Arial" w:hAnsi="Arial" w:cs="Arial"/>
          <w:bCs/>
        </w:rPr>
        <w:t>.</w:t>
      </w:r>
      <w:r w:rsidR="00E93D7D" w:rsidRPr="00E93D7D">
        <w:rPr>
          <w:rFonts w:ascii="Arial" w:hAnsi="Arial" w:cs="Arial"/>
          <w:bCs/>
        </w:rPr>
        <w:t>.</w:t>
      </w:r>
      <w:proofErr w:type="gramEnd"/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915ECA" w:rsidRDefault="008B4B30" w:rsidP="00E52166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</w:t>
      </w:r>
      <w:r w:rsidR="00E52166">
        <w:rPr>
          <w:rFonts w:ascii="Arial" w:hAnsi="Arial" w:cs="Arial"/>
          <w:b/>
          <w:bCs/>
        </w:rPr>
        <w:t xml:space="preserve">) Otras circunstancias de carácter significativo que afecten al activo, tales </w:t>
      </w:r>
      <w:r>
        <w:rPr>
          <w:rFonts w:ascii="Arial" w:hAnsi="Arial" w:cs="Arial"/>
          <w:b/>
          <w:bCs/>
        </w:rPr>
        <w:t xml:space="preserve">  </w:t>
      </w:r>
      <w:r w:rsidR="00E52166">
        <w:rPr>
          <w:rFonts w:ascii="Arial" w:hAnsi="Arial" w:cs="Arial"/>
          <w:b/>
          <w:bCs/>
        </w:rPr>
        <w:t xml:space="preserve">como bienes en garantía en embargos, litigios, títulos de </w:t>
      </w:r>
      <w:r>
        <w:rPr>
          <w:rFonts w:ascii="Arial" w:hAnsi="Arial" w:cs="Arial"/>
          <w:b/>
          <w:bCs/>
        </w:rPr>
        <w:t>inversiones</w:t>
      </w:r>
      <w:r w:rsidR="00E52166">
        <w:rPr>
          <w:rFonts w:ascii="Arial" w:hAnsi="Arial" w:cs="Arial"/>
          <w:b/>
          <w:bCs/>
        </w:rPr>
        <w:t xml:space="preserve"> entregados en garantía, baja significativa </w:t>
      </w:r>
      <w:r>
        <w:rPr>
          <w:rFonts w:ascii="Arial" w:hAnsi="Arial" w:cs="Arial"/>
          <w:b/>
          <w:bCs/>
        </w:rPr>
        <w:t>del valor de inversiones financieras</w:t>
      </w:r>
      <w:r w:rsidR="00E52166" w:rsidRPr="00915ECA">
        <w:rPr>
          <w:rFonts w:ascii="Arial" w:hAnsi="Arial" w:cs="Arial"/>
          <w:b/>
          <w:bCs/>
        </w:rPr>
        <w:t>.</w:t>
      </w: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AC3EA7" w:rsidRP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Inversiones en valores. </w:t>
      </w:r>
      <w:r w:rsidR="00530B7E">
        <w:rPr>
          <w:rFonts w:ascii="Arial" w:hAnsi="Arial" w:cs="Arial"/>
        </w:rPr>
        <w:t>No aplica</w:t>
      </w:r>
      <w:proofErr w:type="gramStart"/>
      <w:r w:rsidR="00530B7E">
        <w:rPr>
          <w:rFonts w:ascii="Arial" w:hAnsi="Arial" w:cs="Arial"/>
        </w:rPr>
        <w:t>.</w:t>
      </w:r>
      <w:r w:rsidRPr="00AC3EA7">
        <w:rPr>
          <w:rFonts w:ascii="Arial" w:hAnsi="Arial" w:cs="Arial"/>
        </w:rPr>
        <w:t>.</w:t>
      </w:r>
      <w:proofErr w:type="gramEnd"/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Patrimonio de Organismos descentralizados de Control Presupuestal indirecto. </w:t>
      </w:r>
      <w:r w:rsidR="00530B7E">
        <w:rPr>
          <w:rFonts w:ascii="Arial" w:hAnsi="Arial" w:cs="Arial"/>
        </w:rPr>
        <w:t>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Inversiones en empresas de participación mayoritaria.</w:t>
      </w:r>
      <w:r w:rsidR="00530B7E">
        <w:rPr>
          <w:rFonts w:ascii="Arial" w:hAnsi="Arial" w:cs="Arial"/>
        </w:rPr>
        <w:t xml:space="preserve"> 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AC3EA7">
        <w:rPr>
          <w:rFonts w:ascii="Arial" w:hAnsi="Arial" w:cs="Arial"/>
          <w:b/>
        </w:rPr>
        <w:t>Inversiones en empresas de participación minoritaria.</w:t>
      </w:r>
      <w:r w:rsidR="00530B7E">
        <w:rPr>
          <w:rFonts w:ascii="Arial" w:hAnsi="Arial" w:cs="Arial"/>
        </w:rPr>
        <w:t xml:space="preserve"> No aplica</w:t>
      </w:r>
      <w:r>
        <w:rPr>
          <w:rFonts w:ascii="Arial" w:hAnsi="Arial" w:cs="Arial"/>
        </w:rPr>
        <w:t>.</w:t>
      </w:r>
    </w:p>
    <w:p w:rsidR="00AC3EA7" w:rsidRPr="00AC3EA7" w:rsidRDefault="00AC3EA7" w:rsidP="00AC3EA7">
      <w:pPr>
        <w:pStyle w:val="Prrafodelista"/>
        <w:rPr>
          <w:rFonts w:ascii="Arial" w:hAnsi="Arial" w:cs="Arial"/>
        </w:rPr>
      </w:pPr>
    </w:p>
    <w:p w:rsidR="00AC3EA7" w:rsidRP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AC3EA7">
        <w:rPr>
          <w:rFonts w:ascii="Arial" w:hAnsi="Arial" w:cs="Arial"/>
          <w:b/>
        </w:rPr>
        <w:t>Patrimonio de organismos descentralizados de control presupuestario directo según corresponda</w:t>
      </w:r>
      <w:r>
        <w:rPr>
          <w:rFonts w:ascii="Arial" w:hAnsi="Arial" w:cs="Arial"/>
          <w:b/>
        </w:rPr>
        <w:t xml:space="preserve">. </w:t>
      </w:r>
      <w:r w:rsidR="00530B7E">
        <w:rPr>
          <w:rFonts w:ascii="Arial" w:hAnsi="Arial" w:cs="Arial"/>
        </w:rPr>
        <w:t>No aplica</w:t>
      </w:r>
      <w:r>
        <w:rPr>
          <w:rFonts w:ascii="Arial" w:hAnsi="Arial" w:cs="Arial"/>
          <w:b/>
        </w:rPr>
        <w:t>.</w:t>
      </w:r>
    </w:p>
    <w:p w:rsidR="00AC3EA7" w:rsidRP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317D73" w:rsidRDefault="00C835B4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P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Pr="008B4B30">
        <w:rPr>
          <w:rFonts w:ascii="Arial" w:hAnsi="Arial" w:cs="Arial"/>
          <w:b/>
        </w:rPr>
        <w:t>Por el ramo administrativo que los reporta:</w:t>
      </w:r>
    </w:p>
    <w:p w:rsidR="00915ECA" w:rsidRDefault="0065066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Organismo cuenta con un </w:t>
      </w:r>
      <w:r w:rsidR="008F1BD0">
        <w:rPr>
          <w:rFonts w:ascii="Arial" w:hAnsi="Arial" w:cs="Arial"/>
        </w:rPr>
        <w:t>fideicomiso,</w:t>
      </w:r>
      <w:r>
        <w:rPr>
          <w:rFonts w:ascii="Arial" w:hAnsi="Arial" w:cs="Arial"/>
        </w:rPr>
        <w:t xml:space="preserve"> pero a la fecha </w:t>
      </w:r>
      <w:r w:rsidR="005F2879">
        <w:rPr>
          <w:rFonts w:ascii="Arial" w:hAnsi="Arial" w:cs="Arial"/>
        </w:rPr>
        <w:t>no se</w:t>
      </w:r>
      <w:r>
        <w:rPr>
          <w:rFonts w:ascii="Arial" w:hAnsi="Arial" w:cs="Arial"/>
        </w:rPr>
        <w:t xml:space="preserve"> </w:t>
      </w:r>
      <w:r w:rsidR="005F2879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terminado de armonizar por eso se refleja en el rubro contable de inversión</w:t>
      </w:r>
      <w:r w:rsidR="00317D73" w:rsidRPr="00317D73">
        <w:rPr>
          <w:rFonts w:ascii="Arial" w:hAnsi="Arial" w:cs="Arial"/>
        </w:rPr>
        <w:t>.</w:t>
      </w:r>
    </w:p>
    <w:p w:rsidR="00B8376F" w:rsidRDefault="00B8376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A9F">
        <w:rPr>
          <w:rFonts w:ascii="Arial" w:hAnsi="Arial" w:cs="Arial"/>
          <w:b/>
        </w:rPr>
        <w:lastRenderedPageBreak/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D17220" w:rsidRDefault="00530B7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C835B4" w:rsidRDefault="00C835B4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9F" w:rsidRDefault="00FB7A9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C835B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C00FEC" w:rsidRDefault="00C00FEC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330" w:type="dxa"/>
        <w:tblInd w:w="256" w:type="dxa"/>
        <w:tblLook w:val="04A0" w:firstRow="1" w:lastRow="0" w:firstColumn="1" w:lastColumn="0" w:noHBand="0" w:noVBand="1"/>
      </w:tblPr>
      <w:tblGrid>
        <w:gridCol w:w="4530"/>
        <w:gridCol w:w="2126"/>
        <w:gridCol w:w="1674"/>
      </w:tblGrid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CF5946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172,838.89</w:t>
            </w:r>
          </w:p>
        </w:tc>
        <w:tc>
          <w:tcPr>
            <w:tcW w:w="1674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CF5946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210,344,635.37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CF5946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210,517,474.26</w:t>
            </w:r>
          </w:p>
        </w:tc>
        <w:tc>
          <w:tcPr>
            <w:tcW w:w="1674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1442A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4B85">
              <w:rPr>
                <w:rFonts w:ascii="Arial" w:hAnsi="Arial" w:cs="Arial"/>
              </w:rPr>
              <w:t>.00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1442A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674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CF5946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$ 210,517</w:t>
            </w:r>
            <w:r w:rsidR="003544C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474.26</w:t>
            </w:r>
          </w:p>
        </w:tc>
        <w:tc>
          <w:tcPr>
            <w:tcW w:w="1674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bookmarkEnd w:id="1"/>
    <w:p w:rsidR="00AC3EA7" w:rsidRDefault="00AC3EA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01C5A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1C5A">
        <w:rPr>
          <w:rFonts w:ascii="Arial" w:hAnsi="Arial" w:cs="Arial"/>
        </w:rPr>
        <w:t xml:space="preserve"> </w:t>
      </w:r>
      <w:r w:rsidR="003544CB" w:rsidRPr="003544CB">
        <w:rPr>
          <w:rFonts w:ascii="Arial" w:hAnsi="Arial" w:cs="Arial"/>
          <w:b/>
        </w:rPr>
        <w:t>Presupuesto Autorizado.</w:t>
      </w:r>
      <w:bookmarkStart w:id="2" w:name="_GoBack"/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9A48E3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1,411,</w:t>
            </w:r>
            <w:r w:rsidR="00E554EF">
              <w:rPr>
                <w:rFonts w:ascii="Arial" w:hAnsi="Arial" w:cs="Arial"/>
              </w:rPr>
              <w:t>060.00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926,083,306.99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E554EF">
              <w:rPr>
                <w:rFonts w:ascii="Arial" w:hAnsi="Arial" w:cs="Arial"/>
                <w:b/>
              </w:rPr>
              <w:t>937,494,366.99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185786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E93D7D" w:rsidP="00D74363">
      <w:pPr>
        <w:spacing w:after="120" w:line="240" w:lineRule="auto"/>
        <w:ind w:right="-285"/>
        <w:rPr>
          <w:rFonts w:ascii="Arial" w:hAnsi="Arial" w:cs="Arial"/>
        </w:rPr>
      </w:pPr>
      <w:r w:rsidRPr="00960A30">
        <w:rPr>
          <w:rFonts w:ascii="Arial" w:hAnsi="Arial" w:cs="Arial"/>
        </w:rPr>
        <w:t>No Aplica.</w:t>
      </w:r>
    </w:p>
    <w:p w:rsidR="00B8376F" w:rsidRDefault="00B8376F" w:rsidP="00D74363">
      <w:pPr>
        <w:spacing w:after="120" w:line="240" w:lineRule="auto"/>
        <w:ind w:right="-285"/>
        <w:rPr>
          <w:rFonts w:ascii="Arial" w:hAnsi="Arial" w:cs="Arial"/>
        </w:rPr>
      </w:pPr>
    </w:p>
    <w:p w:rsidR="00B8376F" w:rsidRDefault="00B8376F" w:rsidP="00D74363">
      <w:pPr>
        <w:spacing w:after="120" w:line="240" w:lineRule="auto"/>
        <w:ind w:right="-285"/>
        <w:rPr>
          <w:rFonts w:ascii="Arial" w:hAnsi="Arial" w:cs="Arial"/>
          <w:b/>
        </w:rPr>
      </w:pP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B8376F" w:rsidRPr="00D74363" w:rsidRDefault="00B8376F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5339EB" w:rsidTr="001E4DB0">
        <w:tc>
          <w:tcPr>
            <w:tcW w:w="4678" w:type="dxa"/>
          </w:tcPr>
          <w:p w:rsidR="005339EB" w:rsidRPr="005C5480" w:rsidRDefault="005339EB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984" w:type="dxa"/>
          </w:tcPr>
          <w:p w:rsidR="005339EB" w:rsidRPr="005C5480" w:rsidRDefault="005339EB" w:rsidP="008263E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5339EB" w:rsidRPr="005C5480" w:rsidRDefault="005339EB" w:rsidP="005339E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5339EB" w:rsidTr="001E4DB0">
        <w:tc>
          <w:tcPr>
            <w:tcW w:w="4678" w:type="dxa"/>
          </w:tcPr>
          <w:p w:rsidR="005339EB" w:rsidRDefault="008263EC" w:rsidP="008263E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Deuda Pública Corto Plazo (Crédito </w:t>
            </w:r>
            <w:r w:rsidR="003A66F8">
              <w:rPr>
                <w:rFonts w:ascii="Arial" w:hAnsi="Arial" w:cs="Arial"/>
                <w:bCs/>
              </w:rPr>
              <w:t>Banorte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4" w:type="dxa"/>
          </w:tcPr>
          <w:p w:rsidR="005339EB" w:rsidRDefault="00F9638F" w:rsidP="00C417F2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985" w:type="dxa"/>
          </w:tcPr>
          <w:p w:rsidR="005339EB" w:rsidRDefault="0090077F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F9638F">
              <w:rPr>
                <w:rFonts w:ascii="Arial" w:hAnsi="Arial" w:cs="Arial"/>
                <w:bCs/>
              </w:rPr>
              <w:t>aldo al 31/03/21</w:t>
            </w:r>
          </w:p>
        </w:tc>
      </w:tr>
      <w:tr w:rsidR="008263EC" w:rsidTr="001E4DB0">
        <w:tc>
          <w:tcPr>
            <w:tcW w:w="4678" w:type="dxa"/>
          </w:tcPr>
          <w:p w:rsidR="008263EC" w:rsidRPr="004B60C7" w:rsidRDefault="008263EC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B60C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4" w:type="dxa"/>
          </w:tcPr>
          <w:p w:rsidR="008263EC" w:rsidRPr="00982F99" w:rsidRDefault="00F9638F" w:rsidP="008263EC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$0.00</w:t>
            </w:r>
          </w:p>
        </w:tc>
        <w:tc>
          <w:tcPr>
            <w:tcW w:w="1985" w:type="dxa"/>
          </w:tcPr>
          <w:p w:rsidR="008263EC" w:rsidRDefault="008263EC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F1B8B" w:rsidRDefault="008F1B8B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735"/>
        <w:gridCol w:w="3912"/>
      </w:tblGrid>
      <w:tr w:rsidR="008F1B8B" w:rsidRPr="005C5480" w:rsidTr="008F1B8B">
        <w:tc>
          <w:tcPr>
            <w:tcW w:w="4735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3912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</w:tr>
      <w:tr w:rsid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Intereses</w:t>
            </w:r>
          </w:p>
        </w:tc>
        <w:tc>
          <w:tcPr>
            <w:tcW w:w="3912" w:type="dxa"/>
          </w:tcPr>
          <w:p w:rsidR="008F1B8B" w:rsidRPr="008F1B8B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$72,094.68</w:t>
            </w:r>
          </w:p>
        </w:tc>
      </w:tr>
      <w:tr w:rsidR="008F1B8B" w:rsidRP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Otros gastos de la deuda</w:t>
            </w:r>
          </w:p>
        </w:tc>
        <w:tc>
          <w:tcPr>
            <w:tcW w:w="3912" w:type="dxa"/>
          </w:tcPr>
          <w:p w:rsidR="008F1B8B" w:rsidRPr="008F1B8B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319,660.88</w:t>
            </w:r>
          </w:p>
        </w:tc>
      </w:tr>
      <w:tr w:rsidR="008F1B8B" w:rsidTr="008F1B8B">
        <w:tc>
          <w:tcPr>
            <w:tcW w:w="4735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Tasa</w:t>
            </w:r>
          </w:p>
        </w:tc>
        <w:tc>
          <w:tcPr>
            <w:tcW w:w="3912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TIEE+4.885</w:t>
            </w:r>
          </w:p>
        </w:tc>
      </w:tr>
    </w:tbl>
    <w:p w:rsidR="008F1B8B" w:rsidRDefault="008F1B8B" w:rsidP="008F1B8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E4C87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="00A26973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 xml:space="preserve"> anexa la información en las notas de desglose.</w:t>
      </w:r>
    </w:p>
    <w:p w:rsidR="00D74363" w:rsidRPr="0041591E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259BA" w:rsidRDefault="00185786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663B" w:rsidRPr="0059663B">
        <w:rPr>
          <w:rFonts w:ascii="Arial" w:hAnsi="Arial" w:cs="Arial"/>
        </w:rPr>
        <w:t>Se cuenta con 2 calificadoras que son:</w:t>
      </w:r>
    </w:p>
    <w:p w:rsidR="001D017A" w:rsidRDefault="0059663B" w:rsidP="0059663B">
      <w:pPr>
        <w:spacing w:after="120" w:line="240" w:lineRule="auto"/>
        <w:ind w:right="-285"/>
        <w:rPr>
          <w:rFonts w:ascii="Arial" w:hAnsi="Arial" w:cs="Arial"/>
        </w:rPr>
      </w:pPr>
      <w:proofErr w:type="spellStart"/>
      <w:r w:rsidRPr="0059663B">
        <w:rPr>
          <w:rFonts w:ascii="Arial" w:hAnsi="Arial" w:cs="Arial"/>
        </w:rPr>
        <w:t>Fitch</w:t>
      </w:r>
      <w:proofErr w:type="spellEnd"/>
      <w:r w:rsidRPr="0059663B">
        <w:rPr>
          <w:rFonts w:ascii="Arial" w:hAnsi="Arial" w:cs="Arial"/>
        </w:rPr>
        <w:t xml:space="preserve"> de México, S.A de C.V. Y </w:t>
      </w:r>
      <w:proofErr w:type="spellStart"/>
      <w:r w:rsidRPr="0059663B">
        <w:rPr>
          <w:rFonts w:ascii="Arial" w:hAnsi="Arial" w:cs="Arial"/>
        </w:rPr>
        <w:t>Moodys</w:t>
      </w:r>
      <w:proofErr w:type="spellEnd"/>
      <w:r w:rsidRPr="0059663B">
        <w:rPr>
          <w:rFonts w:ascii="Arial" w:hAnsi="Arial" w:cs="Arial"/>
        </w:rPr>
        <w:t xml:space="preserve"> de México</w:t>
      </w:r>
      <w:r>
        <w:rPr>
          <w:rFonts w:ascii="Arial" w:hAnsi="Arial" w:cs="Arial"/>
        </w:rPr>
        <w:t xml:space="preserve"> S.A. de C.V. calificadoras de Valores autorizadas por la Comisión Nacional Bancaria y de Valores.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185786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AC1F07">
      <w:pPr>
        <w:pStyle w:val="Prrafodelista"/>
        <w:rPr>
          <w:rFonts w:ascii="Arial" w:hAnsi="Arial" w:cs="Arial"/>
        </w:rPr>
      </w:pPr>
    </w:p>
    <w:p w:rsidR="001D017A" w:rsidRPr="00C8070A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0639A3" w:rsidRDefault="00433139" w:rsidP="0053225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F300D">
        <w:rPr>
          <w:rFonts w:ascii="Arial" w:hAnsi="Arial" w:cs="Arial"/>
          <w:bCs/>
        </w:rPr>
        <w:t xml:space="preserve"> </w:t>
      </w:r>
    </w:p>
    <w:p w:rsidR="005F300D" w:rsidRPr="00433139" w:rsidRDefault="005F300D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185786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</w:p>
    <w:p w:rsidR="00AC1F07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P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F56D18" w:rsidRPr="00C8070A" w:rsidRDefault="00F56D18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p w:rsidR="004C0206" w:rsidRDefault="008E6043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AC1F07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1E4DB0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532251" w:rsidRPr="001831ED" w:rsidRDefault="00532251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Default="00782A00" w:rsidP="00DF3559">
      <w:pPr>
        <w:spacing w:line="240" w:lineRule="auto"/>
        <w:jc w:val="both"/>
        <w:rPr>
          <w:rFonts w:ascii="Arial" w:hAnsi="Arial" w:cs="Arial"/>
        </w:rPr>
      </w:pPr>
      <w:r w:rsidRPr="007C2E72">
        <w:rPr>
          <w:rFonts w:ascii="Arial" w:hAnsi="Arial" w:cs="Arial"/>
        </w:rPr>
        <w:t>“Bajo protesta de decir verdad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>declaramos que los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 xml:space="preserve">Estados Financieros y sus notas son </w:t>
      </w:r>
      <w:r>
        <w:rPr>
          <w:rFonts w:ascii="Arial" w:hAnsi="Arial" w:cs="Arial"/>
        </w:rPr>
        <w:t xml:space="preserve">razonablemente correctos, </w:t>
      </w:r>
      <w:r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”.</w:t>
      </w:r>
    </w:p>
    <w:p w:rsidR="001E6EB5" w:rsidRPr="001E6EB5" w:rsidRDefault="001E6EB5" w:rsidP="00DF355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Pr="001E6EB5">
        <w:rPr>
          <w:rFonts w:ascii="Arial" w:hAnsi="Arial" w:cs="Arial"/>
          <w:b/>
        </w:rPr>
        <w:t>Elaborado por:</w:t>
      </w:r>
      <w:r>
        <w:rPr>
          <w:rFonts w:ascii="Arial" w:hAnsi="Arial" w:cs="Arial"/>
          <w:b/>
        </w:rPr>
        <w:t xml:space="preserve">                                                                Revisado por:</w:t>
      </w:r>
    </w:p>
    <w:p w:rsidR="00DA7A0A" w:rsidRDefault="00DA7A0A" w:rsidP="00CF53B4">
      <w:pPr>
        <w:spacing w:after="0" w:line="240" w:lineRule="auto"/>
        <w:jc w:val="both"/>
        <w:rPr>
          <w:rFonts w:ascii="Arial" w:hAnsi="Arial" w:cs="Arial"/>
          <w:b/>
        </w:rPr>
      </w:pPr>
    </w:p>
    <w:p w:rsidR="001A094D" w:rsidRDefault="008B43BC" w:rsidP="00CF53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52395E" w:rsidRPr="00CF53B4" w:rsidRDefault="008B43BC" w:rsidP="00CF53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F6FB9">
        <w:rPr>
          <w:rFonts w:ascii="Arial" w:hAnsi="Arial" w:cs="Arial"/>
          <w:b/>
        </w:rPr>
        <w:t>C.P. Liliana Piedad Tornes López</w:t>
      </w:r>
      <w:r w:rsidR="00285B12" w:rsidRPr="00CF53B4">
        <w:rPr>
          <w:rFonts w:ascii="Arial" w:hAnsi="Arial" w:cs="Arial"/>
          <w:b/>
        </w:rPr>
        <w:t xml:space="preserve">.          </w:t>
      </w:r>
      <w:r w:rsidR="00416DBD">
        <w:rPr>
          <w:rFonts w:ascii="Arial" w:hAnsi="Arial" w:cs="Arial"/>
          <w:b/>
        </w:rPr>
        <w:t xml:space="preserve">   </w:t>
      </w:r>
      <w:r w:rsidR="00F60B96">
        <w:rPr>
          <w:rFonts w:ascii="Arial" w:hAnsi="Arial" w:cs="Arial"/>
          <w:b/>
        </w:rPr>
        <w:t xml:space="preserve">  </w:t>
      </w:r>
      <w:r w:rsidR="004F6FB9">
        <w:rPr>
          <w:rFonts w:ascii="Arial" w:hAnsi="Arial" w:cs="Arial"/>
          <w:b/>
        </w:rPr>
        <w:t xml:space="preserve">  </w:t>
      </w:r>
      <w:r w:rsidR="003A4ED8">
        <w:rPr>
          <w:rFonts w:ascii="Arial" w:hAnsi="Arial" w:cs="Arial"/>
          <w:b/>
        </w:rPr>
        <w:t xml:space="preserve"> </w:t>
      </w:r>
      <w:r w:rsidR="00CE1DF9">
        <w:rPr>
          <w:rFonts w:ascii="Arial" w:hAnsi="Arial" w:cs="Arial"/>
          <w:b/>
        </w:rPr>
        <w:t xml:space="preserve">     </w:t>
      </w:r>
      <w:r w:rsidR="008427E9">
        <w:rPr>
          <w:rFonts w:ascii="Arial" w:hAnsi="Arial" w:cs="Arial"/>
          <w:b/>
        </w:rPr>
        <w:t xml:space="preserve">  </w:t>
      </w:r>
      <w:r w:rsidR="003924C8">
        <w:rPr>
          <w:rFonts w:ascii="Arial" w:hAnsi="Arial" w:cs="Arial"/>
          <w:b/>
        </w:rPr>
        <w:t xml:space="preserve">     </w:t>
      </w:r>
      <w:r w:rsidR="008427E9">
        <w:rPr>
          <w:rFonts w:ascii="Arial" w:hAnsi="Arial" w:cs="Arial"/>
          <w:b/>
        </w:rPr>
        <w:t xml:space="preserve"> </w:t>
      </w:r>
      <w:r w:rsidR="00B0448B">
        <w:rPr>
          <w:rFonts w:ascii="Arial" w:hAnsi="Arial" w:cs="Arial"/>
          <w:b/>
        </w:rPr>
        <w:t>C.P</w:t>
      </w:r>
      <w:r w:rsidR="0052395E" w:rsidRPr="00CF53B4">
        <w:rPr>
          <w:rFonts w:ascii="Arial" w:hAnsi="Arial" w:cs="Arial"/>
          <w:b/>
        </w:rPr>
        <w:t>.</w:t>
      </w:r>
      <w:r w:rsidR="00B0448B">
        <w:rPr>
          <w:rFonts w:ascii="Arial" w:hAnsi="Arial" w:cs="Arial"/>
          <w:b/>
        </w:rPr>
        <w:t xml:space="preserve"> </w:t>
      </w:r>
      <w:r w:rsidR="003924C8">
        <w:rPr>
          <w:rFonts w:ascii="Arial" w:hAnsi="Arial" w:cs="Arial"/>
          <w:b/>
        </w:rPr>
        <w:t>Marlene Estrada Lozano</w:t>
      </w:r>
    </w:p>
    <w:p w:rsidR="0052395E" w:rsidRDefault="005965EB" w:rsidP="006E00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ED8">
        <w:rPr>
          <w:rFonts w:ascii="Arial" w:hAnsi="Arial" w:cs="Arial"/>
        </w:rPr>
        <w:t xml:space="preserve">       </w:t>
      </w:r>
      <w:r w:rsidR="00285B12" w:rsidRPr="00CF53B4">
        <w:rPr>
          <w:rFonts w:ascii="Arial" w:hAnsi="Arial" w:cs="Arial"/>
        </w:rPr>
        <w:t xml:space="preserve"> </w:t>
      </w:r>
      <w:proofErr w:type="spellStart"/>
      <w:r w:rsidR="00285B12" w:rsidRPr="00CF53B4">
        <w:rPr>
          <w:rFonts w:ascii="Arial" w:hAnsi="Arial" w:cs="Arial"/>
        </w:rPr>
        <w:t>Enc</w:t>
      </w:r>
      <w:proofErr w:type="spellEnd"/>
      <w:r w:rsidR="00285B12" w:rsidRPr="00CF53B4">
        <w:rPr>
          <w:rFonts w:ascii="Arial" w:hAnsi="Arial" w:cs="Arial"/>
        </w:rPr>
        <w:t>. De Departamento de</w:t>
      </w:r>
      <w:r w:rsidR="00416DBD">
        <w:rPr>
          <w:rFonts w:ascii="Arial" w:hAnsi="Arial" w:cs="Arial"/>
        </w:rPr>
        <w:t xml:space="preserve"> </w:t>
      </w:r>
      <w:r w:rsidR="00285B12" w:rsidRPr="00CF53B4">
        <w:rPr>
          <w:rFonts w:ascii="Arial" w:hAnsi="Arial" w:cs="Arial"/>
        </w:rPr>
        <w:t xml:space="preserve">         </w:t>
      </w:r>
      <w:r w:rsidR="008B43BC">
        <w:rPr>
          <w:rFonts w:ascii="Arial" w:hAnsi="Arial" w:cs="Arial"/>
        </w:rPr>
        <w:t xml:space="preserve">            </w:t>
      </w:r>
      <w:r w:rsidR="00A6155B">
        <w:rPr>
          <w:rFonts w:ascii="Arial" w:hAnsi="Arial" w:cs="Arial"/>
        </w:rPr>
        <w:t xml:space="preserve">   </w:t>
      </w:r>
      <w:r w:rsidR="00416DBD">
        <w:rPr>
          <w:rFonts w:ascii="Arial" w:hAnsi="Arial" w:cs="Arial"/>
        </w:rPr>
        <w:t xml:space="preserve"> </w:t>
      </w:r>
      <w:r w:rsidR="00A6155B">
        <w:rPr>
          <w:rFonts w:ascii="Arial" w:hAnsi="Arial" w:cs="Arial"/>
        </w:rPr>
        <w:t xml:space="preserve"> </w:t>
      </w:r>
      <w:r w:rsidR="008427E9">
        <w:rPr>
          <w:rFonts w:ascii="Arial" w:hAnsi="Arial" w:cs="Arial"/>
        </w:rPr>
        <w:t xml:space="preserve">   </w:t>
      </w:r>
      <w:r w:rsidR="00A6155B">
        <w:rPr>
          <w:rFonts w:ascii="Arial" w:hAnsi="Arial" w:cs="Arial"/>
        </w:rPr>
        <w:t xml:space="preserve"> </w:t>
      </w:r>
      <w:r w:rsidR="008427E9">
        <w:rPr>
          <w:rFonts w:ascii="Arial" w:hAnsi="Arial" w:cs="Arial"/>
        </w:rPr>
        <w:t xml:space="preserve">       </w:t>
      </w:r>
      <w:r w:rsidR="003924C8">
        <w:rPr>
          <w:rFonts w:ascii="Arial" w:hAnsi="Arial" w:cs="Arial"/>
        </w:rPr>
        <w:t xml:space="preserve">                Tesorera General</w:t>
      </w:r>
    </w:p>
    <w:p w:rsidR="00782A00" w:rsidRDefault="003A4ED8" w:rsidP="00CF53B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007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16DBD" w:rsidRPr="00CF53B4">
        <w:rPr>
          <w:rFonts w:ascii="Arial" w:hAnsi="Arial" w:cs="Arial"/>
        </w:rPr>
        <w:t>Contabilidad</w:t>
      </w:r>
      <w:r w:rsidR="00416DBD">
        <w:rPr>
          <w:rFonts w:ascii="Arial" w:hAnsi="Arial" w:cs="Arial"/>
        </w:rPr>
        <w:t xml:space="preserve"> General     </w:t>
      </w:r>
    </w:p>
    <w:p w:rsidR="00782A00" w:rsidRDefault="00782A00" w:rsidP="00CF53B4">
      <w:pPr>
        <w:spacing w:after="120" w:line="240" w:lineRule="auto"/>
        <w:jc w:val="both"/>
        <w:rPr>
          <w:rFonts w:ascii="Arial" w:hAnsi="Arial" w:cs="Arial"/>
        </w:rPr>
      </w:pPr>
    </w:p>
    <w:p w:rsidR="003924C8" w:rsidRDefault="003924C8" w:rsidP="00CF53B4">
      <w:pPr>
        <w:spacing w:after="120" w:line="240" w:lineRule="auto"/>
        <w:jc w:val="both"/>
        <w:rPr>
          <w:rFonts w:ascii="Arial" w:hAnsi="Arial" w:cs="Arial"/>
        </w:rPr>
      </w:pPr>
    </w:p>
    <w:p w:rsidR="003924C8" w:rsidRDefault="003924C8" w:rsidP="00CF53B4">
      <w:pPr>
        <w:spacing w:after="120" w:line="240" w:lineRule="auto"/>
        <w:jc w:val="both"/>
        <w:rPr>
          <w:rFonts w:ascii="Arial" w:hAnsi="Arial" w:cs="Arial"/>
        </w:rPr>
      </w:pPr>
    </w:p>
    <w:p w:rsidR="00782A00" w:rsidRPr="001E6EB5" w:rsidRDefault="001E6EB5" w:rsidP="00782A0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E54EFD">
        <w:rPr>
          <w:rFonts w:ascii="Arial" w:hAnsi="Arial" w:cs="Arial"/>
          <w:b/>
        </w:rPr>
        <w:t>Aprobado</w:t>
      </w:r>
      <w:r w:rsidRPr="001E6EB5">
        <w:rPr>
          <w:rFonts w:ascii="Arial" w:hAnsi="Arial" w:cs="Arial"/>
          <w:b/>
        </w:rPr>
        <w:t xml:space="preserve"> por:</w:t>
      </w:r>
      <w:r>
        <w:rPr>
          <w:rFonts w:ascii="Arial" w:hAnsi="Arial" w:cs="Arial"/>
          <w:b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b/>
        </w:rPr>
        <w:t>Vo</w:t>
      </w:r>
      <w:proofErr w:type="spellEnd"/>
      <w:r>
        <w:rPr>
          <w:rFonts w:ascii="Arial" w:hAnsi="Arial" w:cs="Arial"/>
          <w:b/>
        </w:rPr>
        <w:t>. Bo. Por:</w:t>
      </w:r>
    </w:p>
    <w:p w:rsidR="00782A00" w:rsidRDefault="00782A00" w:rsidP="00782A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52395E" w:rsidRPr="007F59B7" w:rsidRDefault="00782A00" w:rsidP="007F59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</w:t>
      </w:r>
      <w:r w:rsidRPr="00CF53B4">
        <w:rPr>
          <w:rFonts w:ascii="Arial" w:hAnsi="Arial" w:cs="Arial"/>
          <w:b/>
        </w:rPr>
        <w:t xml:space="preserve">. </w:t>
      </w:r>
      <w:r w:rsidR="003924C8">
        <w:rPr>
          <w:rFonts w:ascii="Arial" w:hAnsi="Arial" w:cs="Arial"/>
          <w:b/>
        </w:rPr>
        <w:t>Roberto Villalobos Alcalde</w:t>
      </w:r>
      <w:r w:rsidR="00DA7A0A">
        <w:rPr>
          <w:rFonts w:ascii="Arial" w:hAnsi="Arial" w:cs="Arial"/>
          <w:b/>
        </w:rPr>
        <w:t xml:space="preserve">    </w:t>
      </w:r>
      <w:r w:rsidRPr="00CF53B4">
        <w:rPr>
          <w:rFonts w:ascii="Arial" w:hAnsi="Arial" w:cs="Arial"/>
          <w:b/>
        </w:rPr>
        <w:t xml:space="preserve">     </w:t>
      </w:r>
      <w:r w:rsidR="008427E9">
        <w:rPr>
          <w:rFonts w:ascii="Arial" w:hAnsi="Arial" w:cs="Arial"/>
          <w:b/>
        </w:rPr>
        <w:t xml:space="preserve"> </w:t>
      </w:r>
      <w:r w:rsidR="00DA7A0A">
        <w:rPr>
          <w:rFonts w:ascii="Arial" w:hAnsi="Arial" w:cs="Arial"/>
          <w:b/>
        </w:rPr>
        <w:t xml:space="preserve">                         </w:t>
      </w:r>
      <w:r w:rsidR="001E6EB5">
        <w:rPr>
          <w:rFonts w:ascii="Arial" w:hAnsi="Arial" w:cs="Arial"/>
          <w:b/>
        </w:rPr>
        <w:t xml:space="preserve">  </w:t>
      </w:r>
      <w:r w:rsidR="00DA7A0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C.P. </w:t>
      </w:r>
      <w:proofErr w:type="spellStart"/>
      <w:r>
        <w:rPr>
          <w:rFonts w:ascii="Arial" w:hAnsi="Arial" w:cs="Arial"/>
          <w:b/>
        </w:rPr>
        <w:t>Adali</w:t>
      </w:r>
      <w:proofErr w:type="spellEnd"/>
      <w:r>
        <w:rPr>
          <w:rFonts w:ascii="Arial" w:hAnsi="Arial" w:cs="Arial"/>
          <w:b/>
        </w:rPr>
        <w:t xml:space="preserve"> Cruz López</w:t>
      </w:r>
      <w:r w:rsidR="008427E9">
        <w:rPr>
          <w:rFonts w:ascii="Arial" w:hAnsi="Arial" w:cs="Arial"/>
        </w:rPr>
        <w:t xml:space="preserve">                        </w:t>
      </w:r>
      <w:r w:rsidR="007A6FBF">
        <w:rPr>
          <w:rFonts w:ascii="Arial" w:hAnsi="Arial" w:cs="Arial"/>
        </w:rPr>
        <w:t xml:space="preserve"> </w:t>
      </w:r>
      <w:r w:rsidR="003924C8">
        <w:rPr>
          <w:rFonts w:ascii="Arial" w:hAnsi="Arial" w:cs="Arial"/>
        </w:rPr>
        <w:t xml:space="preserve">     </w:t>
      </w:r>
      <w:r w:rsidR="007F59B7">
        <w:rPr>
          <w:rFonts w:ascii="Arial" w:hAnsi="Arial" w:cs="Arial"/>
        </w:rPr>
        <w:t xml:space="preserve">                </w:t>
      </w:r>
      <w:r w:rsidR="002E7B7A">
        <w:rPr>
          <w:rFonts w:ascii="Arial" w:hAnsi="Arial" w:cs="Arial"/>
        </w:rPr>
        <w:t>Director</w:t>
      </w:r>
      <w:r w:rsidRPr="00CF53B4">
        <w:rPr>
          <w:rFonts w:ascii="Arial" w:hAnsi="Arial" w:cs="Arial"/>
        </w:rPr>
        <w:t xml:space="preserve"> </w:t>
      </w:r>
      <w:r w:rsidR="007F59B7">
        <w:rPr>
          <w:rFonts w:ascii="Arial" w:hAnsi="Arial" w:cs="Arial"/>
        </w:rPr>
        <w:t xml:space="preserve">  General   </w:t>
      </w:r>
      <w:r w:rsidR="00DB31B7">
        <w:rPr>
          <w:rFonts w:ascii="Arial" w:hAnsi="Arial" w:cs="Arial"/>
        </w:rPr>
        <w:t xml:space="preserve">  </w:t>
      </w:r>
      <w:r w:rsidR="001E6EB5">
        <w:rPr>
          <w:rFonts w:ascii="Arial" w:hAnsi="Arial" w:cs="Arial"/>
        </w:rPr>
        <w:t xml:space="preserve">  </w:t>
      </w:r>
      <w:r w:rsidR="00DB31B7">
        <w:rPr>
          <w:rFonts w:ascii="Arial" w:hAnsi="Arial" w:cs="Arial"/>
        </w:rPr>
        <w:t xml:space="preserve"> </w:t>
      </w:r>
      <w:r w:rsidR="00A26973">
        <w:rPr>
          <w:rFonts w:ascii="Arial" w:hAnsi="Arial" w:cs="Arial"/>
        </w:rPr>
        <w:t xml:space="preserve"> </w:t>
      </w:r>
      <w:r w:rsidR="007F59B7">
        <w:rPr>
          <w:rFonts w:ascii="Arial" w:hAnsi="Arial" w:cs="Arial"/>
        </w:rPr>
        <w:t xml:space="preserve">                                                  Contralor General</w:t>
      </w:r>
      <w:r w:rsidR="001C3155">
        <w:rPr>
          <w:rFonts w:ascii="Arial" w:hAnsi="Arial" w:cs="Arial"/>
        </w:rPr>
        <w:t xml:space="preserve">        </w:t>
      </w:r>
      <w:r w:rsidR="00416DBD">
        <w:rPr>
          <w:rFonts w:ascii="Arial" w:hAnsi="Arial" w:cs="Arial"/>
        </w:rPr>
        <w:t xml:space="preserve">           </w:t>
      </w:r>
    </w:p>
    <w:p w:rsidR="001E4DB0" w:rsidRDefault="001E4DB0" w:rsidP="00CF53B4">
      <w:pPr>
        <w:spacing w:after="120" w:line="240" w:lineRule="auto"/>
        <w:jc w:val="both"/>
        <w:rPr>
          <w:rFonts w:ascii="Arial" w:hAnsi="Arial" w:cs="Arial"/>
        </w:rPr>
      </w:pPr>
    </w:p>
    <w:p w:rsidR="001E4DB0" w:rsidRPr="00CF53B4" w:rsidRDefault="001E4DB0" w:rsidP="00CF53B4">
      <w:pPr>
        <w:spacing w:after="120" w:line="240" w:lineRule="auto"/>
        <w:jc w:val="both"/>
        <w:rPr>
          <w:rFonts w:ascii="Arial" w:hAnsi="Arial" w:cs="Arial"/>
        </w:rPr>
      </w:pP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19" w:rsidRDefault="005C2419" w:rsidP="00835935">
      <w:pPr>
        <w:spacing w:after="0" w:line="240" w:lineRule="auto"/>
      </w:pPr>
      <w:r>
        <w:separator/>
      </w:r>
    </w:p>
  </w:endnote>
  <w:endnote w:type="continuationSeparator" w:id="0">
    <w:p w:rsidR="005C2419" w:rsidRDefault="005C2419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Content>
      <w:p w:rsidR="003544CB" w:rsidRDefault="003544CB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26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19" w:rsidRDefault="005C2419" w:rsidP="00835935">
      <w:pPr>
        <w:spacing w:after="0" w:line="240" w:lineRule="auto"/>
      </w:pPr>
      <w:r>
        <w:separator/>
      </w:r>
    </w:p>
  </w:footnote>
  <w:footnote w:type="continuationSeparator" w:id="0">
    <w:p w:rsidR="005C2419" w:rsidRDefault="005C2419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B" w:rsidRDefault="003544CB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3544CB" w:rsidRDefault="003544CB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3544CB" w:rsidRDefault="003544CB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8A3729"/>
    <w:multiLevelType w:val="hybridMultilevel"/>
    <w:tmpl w:val="5F5CA78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2C46724"/>
    <w:multiLevelType w:val="hybridMultilevel"/>
    <w:tmpl w:val="44A60762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8"/>
  </w:num>
  <w:num w:numId="12">
    <w:abstractNumId w:val="20"/>
  </w:num>
  <w:num w:numId="13">
    <w:abstractNumId w:val="17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0"/>
  </w:num>
  <w:num w:numId="19">
    <w:abstractNumId w:val="14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1442A"/>
    <w:rsid w:val="00014E80"/>
    <w:rsid w:val="0001683D"/>
    <w:rsid w:val="000259BA"/>
    <w:rsid w:val="000278E6"/>
    <w:rsid w:val="00030595"/>
    <w:rsid w:val="000309BD"/>
    <w:rsid w:val="00031D38"/>
    <w:rsid w:val="000324EF"/>
    <w:rsid w:val="00032764"/>
    <w:rsid w:val="00032D44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28A"/>
    <w:rsid w:val="000639A3"/>
    <w:rsid w:val="00063EC5"/>
    <w:rsid w:val="00065D2D"/>
    <w:rsid w:val="0007085D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6C63"/>
    <w:rsid w:val="000A7BFD"/>
    <w:rsid w:val="000B1AFD"/>
    <w:rsid w:val="000B3726"/>
    <w:rsid w:val="000B3BE6"/>
    <w:rsid w:val="000B3C14"/>
    <w:rsid w:val="000B452F"/>
    <w:rsid w:val="000B63B3"/>
    <w:rsid w:val="000B753B"/>
    <w:rsid w:val="000B7D8A"/>
    <w:rsid w:val="000C05A2"/>
    <w:rsid w:val="000C0606"/>
    <w:rsid w:val="000C4EA6"/>
    <w:rsid w:val="000C57BD"/>
    <w:rsid w:val="000C7B92"/>
    <w:rsid w:val="000D1B2D"/>
    <w:rsid w:val="000D1DE1"/>
    <w:rsid w:val="000D44B6"/>
    <w:rsid w:val="000E19B8"/>
    <w:rsid w:val="000E2CA8"/>
    <w:rsid w:val="000E2CD6"/>
    <w:rsid w:val="000E64E1"/>
    <w:rsid w:val="000E7350"/>
    <w:rsid w:val="000E7A33"/>
    <w:rsid w:val="000F2BCA"/>
    <w:rsid w:val="000F4B85"/>
    <w:rsid w:val="000F729D"/>
    <w:rsid w:val="0010399C"/>
    <w:rsid w:val="001058D9"/>
    <w:rsid w:val="001068F5"/>
    <w:rsid w:val="00107708"/>
    <w:rsid w:val="0011737F"/>
    <w:rsid w:val="00122449"/>
    <w:rsid w:val="00125792"/>
    <w:rsid w:val="00126A6C"/>
    <w:rsid w:val="00130FD3"/>
    <w:rsid w:val="001327C9"/>
    <w:rsid w:val="001356FF"/>
    <w:rsid w:val="00135B17"/>
    <w:rsid w:val="00136341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726F"/>
    <w:rsid w:val="00187F66"/>
    <w:rsid w:val="00191BFA"/>
    <w:rsid w:val="00194F17"/>
    <w:rsid w:val="00197882"/>
    <w:rsid w:val="001A094D"/>
    <w:rsid w:val="001A1CED"/>
    <w:rsid w:val="001A3EDA"/>
    <w:rsid w:val="001A52D7"/>
    <w:rsid w:val="001A5892"/>
    <w:rsid w:val="001B4FBE"/>
    <w:rsid w:val="001B5E61"/>
    <w:rsid w:val="001B7E91"/>
    <w:rsid w:val="001C05D0"/>
    <w:rsid w:val="001C0F0E"/>
    <w:rsid w:val="001C1534"/>
    <w:rsid w:val="001C204F"/>
    <w:rsid w:val="001C2EDF"/>
    <w:rsid w:val="001C3155"/>
    <w:rsid w:val="001C4540"/>
    <w:rsid w:val="001C537E"/>
    <w:rsid w:val="001C5C95"/>
    <w:rsid w:val="001C5CC3"/>
    <w:rsid w:val="001D017A"/>
    <w:rsid w:val="001D1DB8"/>
    <w:rsid w:val="001D380C"/>
    <w:rsid w:val="001D3AD0"/>
    <w:rsid w:val="001D3CFC"/>
    <w:rsid w:val="001D70D9"/>
    <w:rsid w:val="001E0632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36C2"/>
    <w:rsid w:val="00203D64"/>
    <w:rsid w:val="00203F77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41E6"/>
    <w:rsid w:val="00225158"/>
    <w:rsid w:val="00227004"/>
    <w:rsid w:val="002330FE"/>
    <w:rsid w:val="0023572F"/>
    <w:rsid w:val="002358C3"/>
    <w:rsid w:val="00236EB3"/>
    <w:rsid w:val="00237170"/>
    <w:rsid w:val="002415F4"/>
    <w:rsid w:val="00241C80"/>
    <w:rsid w:val="002450FB"/>
    <w:rsid w:val="00246782"/>
    <w:rsid w:val="0025146A"/>
    <w:rsid w:val="00251C5E"/>
    <w:rsid w:val="0025511D"/>
    <w:rsid w:val="00255965"/>
    <w:rsid w:val="0025788C"/>
    <w:rsid w:val="002605AB"/>
    <w:rsid w:val="00260CB8"/>
    <w:rsid w:val="00261961"/>
    <w:rsid w:val="0026302E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95E"/>
    <w:rsid w:val="002F712C"/>
    <w:rsid w:val="00301C5A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B44"/>
    <w:rsid w:val="0032284D"/>
    <w:rsid w:val="00323C21"/>
    <w:rsid w:val="003265CC"/>
    <w:rsid w:val="003315F6"/>
    <w:rsid w:val="00332B51"/>
    <w:rsid w:val="00335501"/>
    <w:rsid w:val="003429D3"/>
    <w:rsid w:val="00351565"/>
    <w:rsid w:val="003544CB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914CB"/>
    <w:rsid w:val="003924C8"/>
    <w:rsid w:val="00394E7C"/>
    <w:rsid w:val="003970F0"/>
    <w:rsid w:val="0039734B"/>
    <w:rsid w:val="003A07E8"/>
    <w:rsid w:val="003A0B18"/>
    <w:rsid w:val="003A1BDF"/>
    <w:rsid w:val="003A434D"/>
    <w:rsid w:val="003A4ED8"/>
    <w:rsid w:val="003A66F8"/>
    <w:rsid w:val="003B0890"/>
    <w:rsid w:val="003B2814"/>
    <w:rsid w:val="003C277B"/>
    <w:rsid w:val="003C2909"/>
    <w:rsid w:val="003C32D9"/>
    <w:rsid w:val="003C7200"/>
    <w:rsid w:val="003C7D81"/>
    <w:rsid w:val="003D0B92"/>
    <w:rsid w:val="003D441B"/>
    <w:rsid w:val="003D712C"/>
    <w:rsid w:val="003D7DE5"/>
    <w:rsid w:val="003E1390"/>
    <w:rsid w:val="003E4716"/>
    <w:rsid w:val="003E753F"/>
    <w:rsid w:val="003E79B4"/>
    <w:rsid w:val="003E7A12"/>
    <w:rsid w:val="003F0740"/>
    <w:rsid w:val="003F227D"/>
    <w:rsid w:val="003F24B2"/>
    <w:rsid w:val="003F2E77"/>
    <w:rsid w:val="003F3156"/>
    <w:rsid w:val="003F3750"/>
    <w:rsid w:val="003F48E8"/>
    <w:rsid w:val="003F7E11"/>
    <w:rsid w:val="00400F42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200C7"/>
    <w:rsid w:val="00421214"/>
    <w:rsid w:val="00424C44"/>
    <w:rsid w:val="004266C0"/>
    <w:rsid w:val="004304B6"/>
    <w:rsid w:val="004313F6"/>
    <w:rsid w:val="00433139"/>
    <w:rsid w:val="00443721"/>
    <w:rsid w:val="00444B23"/>
    <w:rsid w:val="004458E7"/>
    <w:rsid w:val="00445B2B"/>
    <w:rsid w:val="0044618C"/>
    <w:rsid w:val="00450EB7"/>
    <w:rsid w:val="00452C84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4881"/>
    <w:rsid w:val="00465209"/>
    <w:rsid w:val="00465547"/>
    <w:rsid w:val="00467B9B"/>
    <w:rsid w:val="00471D7A"/>
    <w:rsid w:val="004728F3"/>
    <w:rsid w:val="004800D4"/>
    <w:rsid w:val="00480F28"/>
    <w:rsid w:val="00482895"/>
    <w:rsid w:val="0048533A"/>
    <w:rsid w:val="00485386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B9C"/>
    <w:rsid w:val="004A1FB8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65B2"/>
    <w:rsid w:val="0055205D"/>
    <w:rsid w:val="0055219A"/>
    <w:rsid w:val="00552C3C"/>
    <w:rsid w:val="0055440C"/>
    <w:rsid w:val="00554DC5"/>
    <w:rsid w:val="00557F0A"/>
    <w:rsid w:val="00560AE5"/>
    <w:rsid w:val="00562BAE"/>
    <w:rsid w:val="005634BF"/>
    <w:rsid w:val="00563C62"/>
    <w:rsid w:val="00565DB7"/>
    <w:rsid w:val="005672FD"/>
    <w:rsid w:val="0057013F"/>
    <w:rsid w:val="005723FA"/>
    <w:rsid w:val="00576084"/>
    <w:rsid w:val="005801DA"/>
    <w:rsid w:val="00580B15"/>
    <w:rsid w:val="005837DC"/>
    <w:rsid w:val="00584C29"/>
    <w:rsid w:val="00586416"/>
    <w:rsid w:val="00586CC6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EAF"/>
    <w:rsid w:val="005A76D9"/>
    <w:rsid w:val="005B1232"/>
    <w:rsid w:val="005B21C6"/>
    <w:rsid w:val="005B2AAC"/>
    <w:rsid w:val="005B30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4C2D"/>
    <w:rsid w:val="005D6507"/>
    <w:rsid w:val="005E28A2"/>
    <w:rsid w:val="005E3DF3"/>
    <w:rsid w:val="005E4408"/>
    <w:rsid w:val="005E4C27"/>
    <w:rsid w:val="005E63D7"/>
    <w:rsid w:val="005F2879"/>
    <w:rsid w:val="005F300D"/>
    <w:rsid w:val="005F5D0B"/>
    <w:rsid w:val="006005F6"/>
    <w:rsid w:val="00601A2D"/>
    <w:rsid w:val="00605B66"/>
    <w:rsid w:val="006074D7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43E3A"/>
    <w:rsid w:val="00646A1B"/>
    <w:rsid w:val="0065066E"/>
    <w:rsid w:val="0065083C"/>
    <w:rsid w:val="00651A55"/>
    <w:rsid w:val="0065298C"/>
    <w:rsid w:val="00656CEB"/>
    <w:rsid w:val="00657E67"/>
    <w:rsid w:val="00662B32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365"/>
    <w:rsid w:val="006B352B"/>
    <w:rsid w:val="006B457D"/>
    <w:rsid w:val="006B647A"/>
    <w:rsid w:val="006B6539"/>
    <w:rsid w:val="006B7AF8"/>
    <w:rsid w:val="006C1EF9"/>
    <w:rsid w:val="006C463C"/>
    <w:rsid w:val="006D1367"/>
    <w:rsid w:val="006E0071"/>
    <w:rsid w:val="006E19B4"/>
    <w:rsid w:val="006E1E6B"/>
    <w:rsid w:val="006E1FB2"/>
    <w:rsid w:val="006E3B8F"/>
    <w:rsid w:val="006E7FB9"/>
    <w:rsid w:val="006F1D76"/>
    <w:rsid w:val="006F4261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544"/>
    <w:rsid w:val="00716C9A"/>
    <w:rsid w:val="00716EF0"/>
    <w:rsid w:val="00717085"/>
    <w:rsid w:val="007231D9"/>
    <w:rsid w:val="00723D03"/>
    <w:rsid w:val="00723DF2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2351"/>
    <w:rsid w:val="0077184E"/>
    <w:rsid w:val="007754C8"/>
    <w:rsid w:val="0077611F"/>
    <w:rsid w:val="007761F2"/>
    <w:rsid w:val="00776703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2313"/>
    <w:rsid w:val="007C2E72"/>
    <w:rsid w:val="007C3491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D17"/>
    <w:rsid w:val="007F22F4"/>
    <w:rsid w:val="007F431A"/>
    <w:rsid w:val="007F59B7"/>
    <w:rsid w:val="007F7D5B"/>
    <w:rsid w:val="00803078"/>
    <w:rsid w:val="00803DBD"/>
    <w:rsid w:val="00807D66"/>
    <w:rsid w:val="00812168"/>
    <w:rsid w:val="00812F3A"/>
    <w:rsid w:val="00813C4A"/>
    <w:rsid w:val="0081728A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79EE"/>
    <w:rsid w:val="008427E9"/>
    <w:rsid w:val="00845B23"/>
    <w:rsid w:val="00847B93"/>
    <w:rsid w:val="00853A14"/>
    <w:rsid w:val="008540D9"/>
    <w:rsid w:val="00854C12"/>
    <w:rsid w:val="00855C90"/>
    <w:rsid w:val="00856E01"/>
    <w:rsid w:val="008571CE"/>
    <w:rsid w:val="00857ACC"/>
    <w:rsid w:val="00860D7E"/>
    <w:rsid w:val="008618F2"/>
    <w:rsid w:val="008639A5"/>
    <w:rsid w:val="008670C0"/>
    <w:rsid w:val="00867F82"/>
    <w:rsid w:val="00871A4B"/>
    <w:rsid w:val="00874234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6E8A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C0E5B"/>
    <w:rsid w:val="008C140A"/>
    <w:rsid w:val="008C1B16"/>
    <w:rsid w:val="008C2444"/>
    <w:rsid w:val="008C356E"/>
    <w:rsid w:val="008C5B22"/>
    <w:rsid w:val="008C7121"/>
    <w:rsid w:val="008C7EF2"/>
    <w:rsid w:val="008D0DBC"/>
    <w:rsid w:val="008D1ED5"/>
    <w:rsid w:val="008D3757"/>
    <w:rsid w:val="008D58EC"/>
    <w:rsid w:val="008D6DE6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9AB"/>
    <w:rsid w:val="009213BC"/>
    <w:rsid w:val="009237E9"/>
    <w:rsid w:val="009250B3"/>
    <w:rsid w:val="00925B0E"/>
    <w:rsid w:val="00926656"/>
    <w:rsid w:val="009348F9"/>
    <w:rsid w:val="00937CCC"/>
    <w:rsid w:val="009401AB"/>
    <w:rsid w:val="009416EC"/>
    <w:rsid w:val="00943477"/>
    <w:rsid w:val="00953CAD"/>
    <w:rsid w:val="00954F78"/>
    <w:rsid w:val="00955D2D"/>
    <w:rsid w:val="00956ACC"/>
    <w:rsid w:val="00960A30"/>
    <w:rsid w:val="00960C1F"/>
    <w:rsid w:val="00962826"/>
    <w:rsid w:val="00963A46"/>
    <w:rsid w:val="00964B8C"/>
    <w:rsid w:val="00966535"/>
    <w:rsid w:val="009676E2"/>
    <w:rsid w:val="009750CC"/>
    <w:rsid w:val="00975FAD"/>
    <w:rsid w:val="00977541"/>
    <w:rsid w:val="00982F99"/>
    <w:rsid w:val="0098579E"/>
    <w:rsid w:val="009900D7"/>
    <w:rsid w:val="00990AE7"/>
    <w:rsid w:val="0099357F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5FC2"/>
    <w:rsid w:val="009F13A9"/>
    <w:rsid w:val="009F26F7"/>
    <w:rsid w:val="009F2993"/>
    <w:rsid w:val="00A0134A"/>
    <w:rsid w:val="00A0497D"/>
    <w:rsid w:val="00A06BE5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3104"/>
    <w:rsid w:val="00A51EA0"/>
    <w:rsid w:val="00A52141"/>
    <w:rsid w:val="00A5216B"/>
    <w:rsid w:val="00A52BAC"/>
    <w:rsid w:val="00A547C0"/>
    <w:rsid w:val="00A601A0"/>
    <w:rsid w:val="00A6155B"/>
    <w:rsid w:val="00A62A84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A1034"/>
    <w:rsid w:val="00AA193E"/>
    <w:rsid w:val="00AA286C"/>
    <w:rsid w:val="00AA5740"/>
    <w:rsid w:val="00AA7291"/>
    <w:rsid w:val="00AB6AB8"/>
    <w:rsid w:val="00AC036E"/>
    <w:rsid w:val="00AC1881"/>
    <w:rsid w:val="00AC1C32"/>
    <w:rsid w:val="00AC1F07"/>
    <w:rsid w:val="00AC3EA7"/>
    <w:rsid w:val="00AC4E11"/>
    <w:rsid w:val="00AC6D19"/>
    <w:rsid w:val="00AD10D6"/>
    <w:rsid w:val="00AD24A3"/>
    <w:rsid w:val="00AD3EE3"/>
    <w:rsid w:val="00AD41E7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41A98"/>
    <w:rsid w:val="00B43AB9"/>
    <w:rsid w:val="00B46672"/>
    <w:rsid w:val="00B46E50"/>
    <w:rsid w:val="00B6065F"/>
    <w:rsid w:val="00B60765"/>
    <w:rsid w:val="00B65F46"/>
    <w:rsid w:val="00B6660F"/>
    <w:rsid w:val="00B70035"/>
    <w:rsid w:val="00B72367"/>
    <w:rsid w:val="00B73144"/>
    <w:rsid w:val="00B747EE"/>
    <w:rsid w:val="00B755B3"/>
    <w:rsid w:val="00B75DA4"/>
    <w:rsid w:val="00B76F1F"/>
    <w:rsid w:val="00B77CC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635C"/>
    <w:rsid w:val="00B97043"/>
    <w:rsid w:val="00BA0E9F"/>
    <w:rsid w:val="00BA1B26"/>
    <w:rsid w:val="00BA76EC"/>
    <w:rsid w:val="00BB1A53"/>
    <w:rsid w:val="00BB2881"/>
    <w:rsid w:val="00BB4309"/>
    <w:rsid w:val="00BB7B30"/>
    <w:rsid w:val="00BC0F2A"/>
    <w:rsid w:val="00BC17D6"/>
    <w:rsid w:val="00BC75B8"/>
    <w:rsid w:val="00BD6A14"/>
    <w:rsid w:val="00BE1AA3"/>
    <w:rsid w:val="00BE282D"/>
    <w:rsid w:val="00BE4A01"/>
    <w:rsid w:val="00BE52FB"/>
    <w:rsid w:val="00BE576A"/>
    <w:rsid w:val="00BE667C"/>
    <w:rsid w:val="00BE7846"/>
    <w:rsid w:val="00BF3A01"/>
    <w:rsid w:val="00BF3A72"/>
    <w:rsid w:val="00BF4C0C"/>
    <w:rsid w:val="00BF4CF7"/>
    <w:rsid w:val="00BF69C6"/>
    <w:rsid w:val="00BF6A71"/>
    <w:rsid w:val="00BF7386"/>
    <w:rsid w:val="00C00FEC"/>
    <w:rsid w:val="00C02E20"/>
    <w:rsid w:val="00C066FD"/>
    <w:rsid w:val="00C14456"/>
    <w:rsid w:val="00C15172"/>
    <w:rsid w:val="00C15775"/>
    <w:rsid w:val="00C15FB9"/>
    <w:rsid w:val="00C20919"/>
    <w:rsid w:val="00C23A95"/>
    <w:rsid w:val="00C257A9"/>
    <w:rsid w:val="00C30212"/>
    <w:rsid w:val="00C33543"/>
    <w:rsid w:val="00C356F6"/>
    <w:rsid w:val="00C36E98"/>
    <w:rsid w:val="00C417F2"/>
    <w:rsid w:val="00C41DC4"/>
    <w:rsid w:val="00C42B04"/>
    <w:rsid w:val="00C42C03"/>
    <w:rsid w:val="00C46C64"/>
    <w:rsid w:val="00C471CF"/>
    <w:rsid w:val="00C47682"/>
    <w:rsid w:val="00C512D1"/>
    <w:rsid w:val="00C515D8"/>
    <w:rsid w:val="00C5699D"/>
    <w:rsid w:val="00C62A8C"/>
    <w:rsid w:val="00C65914"/>
    <w:rsid w:val="00C66D40"/>
    <w:rsid w:val="00C6713F"/>
    <w:rsid w:val="00C71E52"/>
    <w:rsid w:val="00C72BF9"/>
    <w:rsid w:val="00C745C2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76A3"/>
    <w:rsid w:val="00C93B30"/>
    <w:rsid w:val="00C9514D"/>
    <w:rsid w:val="00C95AE0"/>
    <w:rsid w:val="00C964FC"/>
    <w:rsid w:val="00CA2BB0"/>
    <w:rsid w:val="00CA5CF1"/>
    <w:rsid w:val="00CA66B2"/>
    <w:rsid w:val="00CB2296"/>
    <w:rsid w:val="00CB2F31"/>
    <w:rsid w:val="00CB3712"/>
    <w:rsid w:val="00CB594D"/>
    <w:rsid w:val="00CB6646"/>
    <w:rsid w:val="00CC0C08"/>
    <w:rsid w:val="00CC2B5F"/>
    <w:rsid w:val="00CC30A5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F102B"/>
    <w:rsid w:val="00CF186B"/>
    <w:rsid w:val="00CF1B72"/>
    <w:rsid w:val="00CF4DAA"/>
    <w:rsid w:val="00CF53B4"/>
    <w:rsid w:val="00CF5946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EFD"/>
    <w:rsid w:val="00D26BF1"/>
    <w:rsid w:val="00D30E7B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5096"/>
    <w:rsid w:val="00D96530"/>
    <w:rsid w:val="00DA00E1"/>
    <w:rsid w:val="00DA4562"/>
    <w:rsid w:val="00DA7757"/>
    <w:rsid w:val="00DA7A0A"/>
    <w:rsid w:val="00DB31B7"/>
    <w:rsid w:val="00DB635E"/>
    <w:rsid w:val="00DC0365"/>
    <w:rsid w:val="00DC145E"/>
    <w:rsid w:val="00DC1BB7"/>
    <w:rsid w:val="00DC5494"/>
    <w:rsid w:val="00DC5548"/>
    <w:rsid w:val="00DD00BD"/>
    <w:rsid w:val="00DD3FC3"/>
    <w:rsid w:val="00DD4677"/>
    <w:rsid w:val="00DD7ABE"/>
    <w:rsid w:val="00DD7FA4"/>
    <w:rsid w:val="00DE03E5"/>
    <w:rsid w:val="00DF00DB"/>
    <w:rsid w:val="00DF10E0"/>
    <w:rsid w:val="00DF3559"/>
    <w:rsid w:val="00DF39B3"/>
    <w:rsid w:val="00DF4156"/>
    <w:rsid w:val="00DF6EFA"/>
    <w:rsid w:val="00E00672"/>
    <w:rsid w:val="00E015F6"/>
    <w:rsid w:val="00E01A14"/>
    <w:rsid w:val="00E01E46"/>
    <w:rsid w:val="00E05D46"/>
    <w:rsid w:val="00E064AB"/>
    <w:rsid w:val="00E06C37"/>
    <w:rsid w:val="00E07DF2"/>
    <w:rsid w:val="00E113EF"/>
    <w:rsid w:val="00E11A76"/>
    <w:rsid w:val="00E13C6C"/>
    <w:rsid w:val="00E161F1"/>
    <w:rsid w:val="00E162B2"/>
    <w:rsid w:val="00E21281"/>
    <w:rsid w:val="00E2356E"/>
    <w:rsid w:val="00E244DC"/>
    <w:rsid w:val="00E24C19"/>
    <w:rsid w:val="00E259E4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71C7"/>
    <w:rsid w:val="00E47715"/>
    <w:rsid w:val="00E51592"/>
    <w:rsid w:val="00E52166"/>
    <w:rsid w:val="00E52B77"/>
    <w:rsid w:val="00E52ECD"/>
    <w:rsid w:val="00E54EFD"/>
    <w:rsid w:val="00E554EF"/>
    <w:rsid w:val="00E55840"/>
    <w:rsid w:val="00E57438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7208"/>
    <w:rsid w:val="00E87F76"/>
    <w:rsid w:val="00E92FF0"/>
    <w:rsid w:val="00E93D7D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83"/>
    <w:rsid w:val="00EB77DD"/>
    <w:rsid w:val="00EB7A85"/>
    <w:rsid w:val="00EC0673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814"/>
    <w:rsid w:val="00EF7B1D"/>
    <w:rsid w:val="00F05143"/>
    <w:rsid w:val="00F05310"/>
    <w:rsid w:val="00F0644D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5341F"/>
    <w:rsid w:val="00F53DEA"/>
    <w:rsid w:val="00F56D18"/>
    <w:rsid w:val="00F57C8E"/>
    <w:rsid w:val="00F60B96"/>
    <w:rsid w:val="00F668EC"/>
    <w:rsid w:val="00F7349D"/>
    <w:rsid w:val="00F739AB"/>
    <w:rsid w:val="00F7560D"/>
    <w:rsid w:val="00F80237"/>
    <w:rsid w:val="00F80DC7"/>
    <w:rsid w:val="00F8222C"/>
    <w:rsid w:val="00F82FE9"/>
    <w:rsid w:val="00F8305C"/>
    <w:rsid w:val="00F83F7B"/>
    <w:rsid w:val="00F84825"/>
    <w:rsid w:val="00F84FB5"/>
    <w:rsid w:val="00F86070"/>
    <w:rsid w:val="00F87471"/>
    <w:rsid w:val="00F902B2"/>
    <w:rsid w:val="00F90C4F"/>
    <w:rsid w:val="00F921CC"/>
    <w:rsid w:val="00F928A2"/>
    <w:rsid w:val="00F92D87"/>
    <w:rsid w:val="00F95E22"/>
    <w:rsid w:val="00F9638F"/>
    <w:rsid w:val="00F96DD1"/>
    <w:rsid w:val="00FA01CC"/>
    <w:rsid w:val="00FA15FD"/>
    <w:rsid w:val="00FA6DB7"/>
    <w:rsid w:val="00FB1123"/>
    <w:rsid w:val="00FB3F33"/>
    <w:rsid w:val="00FB55AE"/>
    <w:rsid w:val="00FB7A9F"/>
    <w:rsid w:val="00FC0701"/>
    <w:rsid w:val="00FC2003"/>
    <w:rsid w:val="00FC50B5"/>
    <w:rsid w:val="00FC5CC7"/>
    <w:rsid w:val="00FD6B70"/>
    <w:rsid w:val="00FD726C"/>
    <w:rsid w:val="00FE1132"/>
    <w:rsid w:val="00FE2CCC"/>
    <w:rsid w:val="00FE49B2"/>
    <w:rsid w:val="00FF12F2"/>
    <w:rsid w:val="00FF1614"/>
    <w:rsid w:val="00FF224D"/>
    <w:rsid w:val="00FF2DF8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BB0B-072C-41CF-9FAB-6E75381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</Pages>
  <Words>4064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287</cp:revision>
  <cp:lastPrinted>2021-05-24T17:27:00Z</cp:lastPrinted>
  <dcterms:created xsi:type="dcterms:W3CDTF">2018-12-21T20:59:00Z</dcterms:created>
  <dcterms:modified xsi:type="dcterms:W3CDTF">2021-05-24T18:14:00Z</dcterms:modified>
</cp:coreProperties>
</file>